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CB8EC" w14:textId="35B73A8C" w:rsidR="007E3064" w:rsidRDefault="007E3064" w:rsidP="007E3064">
      <w:pPr>
        <w:spacing w:after="0" w:line="240" w:lineRule="auto"/>
        <w:rPr>
          <w:rFonts w:ascii="&amp;quot" w:eastAsia="Times New Roman" w:hAnsi="&amp;quot" w:cs="Times New Roman"/>
          <w:color w:val="4A4A4A"/>
          <w:sz w:val="24"/>
          <w:szCs w:val="24"/>
          <w:bdr w:val="none" w:sz="0" w:space="0" w:color="auto" w:frame="1"/>
        </w:rPr>
      </w:pPr>
      <w:r>
        <w:rPr>
          <w:noProof/>
        </w:rPr>
        <w:drawing>
          <wp:inline distT="0" distB="0" distL="0" distR="0" wp14:anchorId="2FC50A1E" wp14:editId="43F6D3BB">
            <wp:extent cx="2119313" cy="728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2861" cy="733285"/>
                    </a:xfrm>
                    <a:prstGeom prst="rect">
                      <a:avLst/>
                    </a:prstGeom>
                    <a:noFill/>
                    <a:ln>
                      <a:noFill/>
                    </a:ln>
                  </pic:spPr>
                </pic:pic>
              </a:graphicData>
            </a:graphic>
          </wp:inline>
        </w:drawing>
      </w:r>
    </w:p>
    <w:p w14:paraId="743B47E0" w14:textId="77777777" w:rsidR="007E3064" w:rsidRDefault="007E3064" w:rsidP="007E3064">
      <w:pPr>
        <w:spacing w:after="0" w:line="240" w:lineRule="auto"/>
        <w:rPr>
          <w:rFonts w:ascii="&amp;quot" w:eastAsia="Times New Roman" w:hAnsi="&amp;quot" w:cs="Times New Roman"/>
          <w:color w:val="4A4A4A"/>
          <w:sz w:val="24"/>
          <w:szCs w:val="24"/>
          <w:bdr w:val="none" w:sz="0" w:space="0" w:color="auto" w:frame="1"/>
        </w:rPr>
      </w:pPr>
    </w:p>
    <w:p w14:paraId="0EC9DEEE" w14:textId="76A13393" w:rsidR="007E3064" w:rsidRDefault="007E3064" w:rsidP="007E3064">
      <w:pPr>
        <w:spacing w:after="0" w:line="240" w:lineRule="auto"/>
        <w:rPr>
          <w:rFonts w:ascii="&amp;quot" w:eastAsia="Times New Roman" w:hAnsi="&amp;quot" w:cs="Times New Roman"/>
          <w:color w:val="4A4A4A"/>
          <w:sz w:val="24"/>
          <w:szCs w:val="24"/>
          <w:bdr w:val="none" w:sz="0" w:space="0" w:color="auto" w:frame="1"/>
        </w:rPr>
      </w:pPr>
      <w:r w:rsidRPr="007E3064">
        <w:rPr>
          <w:rFonts w:ascii="&amp;quot" w:eastAsia="Times New Roman" w:hAnsi="&amp;quot" w:cs="Times New Roman"/>
          <w:b/>
          <w:bCs/>
          <w:color w:val="4A4A4A"/>
          <w:sz w:val="24"/>
          <w:szCs w:val="24"/>
          <w:bdr w:val="none" w:sz="0" w:space="0" w:color="auto" w:frame="1"/>
        </w:rPr>
        <w:t>NCOTA Listening Sessions</w:t>
      </w:r>
      <w:r>
        <w:rPr>
          <w:rFonts w:ascii="&amp;quot" w:eastAsia="Times New Roman" w:hAnsi="&amp;quot" w:cs="Times New Roman"/>
          <w:color w:val="4A4A4A"/>
          <w:sz w:val="24"/>
          <w:szCs w:val="24"/>
          <w:bdr w:val="none" w:sz="0" w:space="0" w:color="auto" w:frame="1"/>
        </w:rPr>
        <w:tab/>
      </w:r>
      <w:r>
        <w:rPr>
          <w:rFonts w:ascii="&amp;quot" w:eastAsia="Times New Roman" w:hAnsi="&amp;quot" w:cs="Times New Roman"/>
          <w:color w:val="4A4A4A"/>
          <w:sz w:val="24"/>
          <w:szCs w:val="24"/>
          <w:bdr w:val="none" w:sz="0" w:space="0" w:color="auto" w:frame="1"/>
        </w:rPr>
        <w:tab/>
      </w:r>
      <w:r>
        <w:rPr>
          <w:rFonts w:ascii="&amp;quot" w:eastAsia="Times New Roman" w:hAnsi="&amp;quot" w:cs="Times New Roman"/>
          <w:color w:val="4A4A4A"/>
          <w:sz w:val="24"/>
          <w:szCs w:val="24"/>
          <w:bdr w:val="none" w:sz="0" w:space="0" w:color="auto" w:frame="1"/>
        </w:rPr>
        <w:tab/>
      </w:r>
      <w:r>
        <w:rPr>
          <w:rFonts w:ascii="&amp;quot" w:eastAsia="Times New Roman" w:hAnsi="&amp;quot" w:cs="Times New Roman"/>
          <w:color w:val="4A4A4A"/>
          <w:sz w:val="24"/>
          <w:szCs w:val="24"/>
          <w:bdr w:val="none" w:sz="0" w:space="0" w:color="auto" w:frame="1"/>
        </w:rPr>
        <w:tab/>
      </w:r>
      <w:r>
        <w:rPr>
          <w:rFonts w:ascii="&amp;quot" w:eastAsia="Times New Roman" w:hAnsi="&amp;quot" w:cs="Times New Roman"/>
          <w:color w:val="4A4A4A"/>
          <w:sz w:val="24"/>
          <w:szCs w:val="24"/>
          <w:bdr w:val="none" w:sz="0" w:space="0" w:color="auto" w:frame="1"/>
        </w:rPr>
        <w:tab/>
      </w:r>
      <w:r>
        <w:rPr>
          <w:rFonts w:ascii="&amp;quot" w:eastAsia="Times New Roman" w:hAnsi="&amp;quot" w:cs="Times New Roman"/>
          <w:color w:val="4A4A4A"/>
          <w:sz w:val="24"/>
          <w:szCs w:val="24"/>
          <w:bdr w:val="none" w:sz="0" w:space="0" w:color="auto" w:frame="1"/>
        </w:rPr>
        <w:tab/>
        <w:t>June 2020</w:t>
      </w:r>
    </w:p>
    <w:p w14:paraId="739C4156" w14:textId="77777777" w:rsidR="007E3064" w:rsidRDefault="007E3064" w:rsidP="007E3064">
      <w:pPr>
        <w:spacing w:after="0" w:line="240" w:lineRule="auto"/>
        <w:rPr>
          <w:rFonts w:ascii="&amp;quot" w:eastAsia="Times New Roman" w:hAnsi="&amp;quot" w:cs="Times New Roman"/>
          <w:color w:val="4A4A4A"/>
          <w:sz w:val="24"/>
          <w:szCs w:val="24"/>
          <w:bdr w:val="none" w:sz="0" w:space="0" w:color="auto" w:frame="1"/>
        </w:rPr>
      </w:pPr>
    </w:p>
    <w:p w14:paraId="12499FE1" w14:textId="717A159E" w:rsidR="007E3064" w:rsidRPr="007E3064" w:rsidRDefault="007E3064" w:rsidP="007E3064">
      <w:pPr>
        <w:spacing w:after="0" w:line="240" w:lineRule="auto"/>
        <w:rPr>
          <w:rFonts w:ascii="&amp;quot" w:eastAsia="Times New Roman" w:hAnsi="&amp;quot" w:cs="Times New Roman"/>
          <w:color w:val="4A4A4A"/>
          <w:sz w:val="24"/>
          <w:szCs w:val="24"/>
        </w:rPr>
      </w:pPr>
      <w:r w:rsidRPr="007E3064">
        <w:rPr>
          <w:rFonts w:ascii="&amp;quot" w:eastAsia="Times New Roman" w:hAnsi="&amp;quot" w:cs="Times New Roman"/>
          <w:color w:val="4A4A4A"/>
          <w:sz w:val="24"/>
          <w:szCs w:val="24"/>
          <w:bdr w:val="none" w:sz="0" w:space="0" w:color="auto" w:frame="1"/>
        </w:rPr>
        <w:t>Our shared purpose is to: </w:t>
      </w:r>
    </w:p>
    <w:p w14:paraId="2D872EE4" w14:textId="77777777" w:rsidR="007E3064" w:rsidRPr="007E3064" w:rsidRDefault="007E3064" w:rsidP="007E3064">
      <w:pPr>
        <w:numPr>
          <w:ilvl w:val="0"/>
          <w:numId w:val="1"/>
        </w:numPr>
        <w:spacing w:after="0" w:line="240" w:lineRule="auto"/>
        <w:ind w:left="600"/>
        <w:rPr>
          <w:rFonts w:ascii="&amp;quot" w:eastAsia="Times New Roman" w:hAnsi="&amp;quot" w:cs="Times New Roman"/>
          <w:color w:val="4A4A4A"/>
          <w:sz w:val="24"/>
          <w:szCs w:val="24"/>
        </w:rPr>
      </w:pPr>
      <w:r w:rsidRPr="007E3064">
        <w:rPr>
          <w:rFonts w:ascii="&amp;quot" w:eastAsia="Times New Roman" w:hAnsi="&amp;quot" w:cs="Times New Roman"/>
          <w:color w:val="4A4A4A"/>
          <w:sz w:val="24"/>
          <w:szCs w:val="24"/>
          <w:bdr w:val="none" w:sz="0" w:space="0" w:color="auto" w:frame="1"/>
        </w:rPr>
        <w:t>Facilitate an open and honest dialogue</w:t>
      </w:r>
    </w:p>
    <w:p w14:paraId="361EA47D" w14:textId="77777777" w:rsidR="007E3064" w:rsidRPr="007E3064" w:rsidRDefault="007E3064" w:rsidP="007E3064">
      <w:pPr>
        <w:numPr>
          <w:ilvl w:val="0"/>
          <w:numId w:val="1"/>
        </w:numPr>
        <w:spacing w:after="0" w:line="240" w:lineRule="auto"/>
        <w:ind w:left="600"/>
        <w:rPr>
          <w:rFonts w:ascii="&amp;quot" w:eastAsia="Times New Roman" w:hAnsi="&amp;quot" w:cs="Times New Roman"/>
          <w:color w:val="4A4A4A"/>
          <w:sz w:val="24"/>
          <w:szCs w:val="24"/>
        </w:rPr>
      </w:pPr>
      <w:r w:rsidRPr="007E3064">
        <w:rPr>
          <w:rFonts w:ascii="&amp;quot" w:eastAsia="Times New Roman" w:hAnsi="&amp;quot" w:cs="Times New Roman"/>
          <w:color w:val="4A4A4A"/>
          <w:sz w:val="24"/>
          <w:szCs w:val="24"/>
          <w:bdr w:val="none" w:sz="0" w:space="0" w:color="auto" w:frame="1"/>
        </w:rPr>
        <w:t>Listen to learn others’ experiences to understand new and varied perspectives.</w:t>
      </w:r>
    </w:p>
    <w:p w14:paraId="50992A13" w14:textId="77777777" w:rsidR="007E3064" w:rsidRPr="007E3064" w:rsidRDefault="007E3064" w:rsidP="007E3064">
      <w:pPr>
        <w:numPr>
          <w:ilvl w:val="0"/>
          <w:numId w:val="1"/>
        </w:numPr>
        <w:spacing w:after="0" w:line="240" w:lineRule="auto"/>
        <w:ind w:left="600"/>
        <w:rPr>
          <w:rFonts w:ascii="&amp;quot" w:eastAsia="Times New Roman" w:hAnsi="&amp;quot" w:cs="Times New Roman"/>
          <w:color w:val="4A4A4A"/>
          <w:sz w:val="24"/>
          <w:szCs w:val="24"/>
        </w:rPr>
      </w:pPr>
      <w:r w:rsidRPr="007E3064">
        <w:rPr>
          <w:rFonts w:ascii="&amp;quot" w:eastAsia="Times New Roman" w:hAnsi="&amp;quot" w:cs="Times New Roman"/>
          <w:color w:val="4A4A4A"/>
          <w:sz w:val="24"/>
          <w:szCs w:val="24"/>
          <w:bdr w:val="none" w:sz="0" w:space="0" w:color="auto" w:frame="1"/>
        </w:rPr>
        <w:t>Challenge ourselves by examining our own assumptions and beliefs.</w:t>
      </w:r>
    </w:p>
    <w:p w14:paraId="1EEFEC80" w14:textId="77777777" w:rsidR="007E3064" w:rsidRPr="007E3064" w:rsidRDefault="007E3064" w:rsidP="007E3064">
      <w:pPr>
        <w:numPr>
          <w:ilvl w:val="0"/>
          <w:numId w:val="1"/>
        </w:numPr>
        <w:spacing w:after="0" w:line="240" w:lineRule="auto"/>
        <w:ind w:left="600"/>
        <w:rPr>
          <w:rFonts w:ascii="&amp;quot" w:eastAsia="Times New Roman" w:hAnsi="&amp;quot" w:cs="Times New Roman"/>
          <w:color w:val="4A4A4A"/>
          <w:sz w:val="24"/>
          <w:szCs w:val="24"/>
        </w:rPr>
      </w:pPr>
      <w:r w:rsidRPr="007E3064">
        <w:rPr>
          <w:rFonts w:ascii="&amp;quot" w:eastAsia="Times New Roman" w:hAnsi="&amp;quot" w:cs="Times New Roman"/>
          <w:color w:val="4A4A4A"/>
          <w:sz w:val="24"/>
          <w:szCs w:val="24"/>
          <w:bdr w:val="none" w:sz="0" w:space="0" w:color="auto" w:frame="1"/>
        </w:rPr>
        <w:t>Demonstrate openness and respect. This is not a “debate” or a problem-solving discussion, but an opportunity to express and understand the multiple realities we experience as citizens and stakeholders.</w:t>
      </w:r>
    </w:p>
    <w:p w14:paraId="7550BCEB" w14:textId="77777777" w:rsidR="007E3064" w:rsidRPr="007E3064" w:rsidRDefault="007E3064" w:rsidP="007E3064">
      <w:pPr>
        <w:numPr>
          <w:ilvl w:val="0"/>
          <w:numId w:val="1"/>
        </w:numPr>
        <w:spacing w:after="0" w:line="240" w:lineRule="auto"/>
        <w:ind w:left="600"/>
        <w:rPr>
          <w:rFonts w:ascii="&amp;quot" w:eastAsia="Times New Roman" w:hAnsi="&amp;quot" w:cs="Times New Roman"/>
          <w:color w:val="4A4A4A"/>
          <w:sz w:val="24"/>
          <w:szCs w:val="24"/>
        </w:rPr>
      </w:pPr>
      <w:r w:rsidRPr="007E3064">
        <w:rPr>
          <w:rFonts w:ascii="&amp;quot" w:eastAsia="Times New Roman" w:hAnsi="&amp;quot" w:cs="Times New Roman"/>
          <w:color w:val="4A4A4A"/>
          <w:sz w:val="24"/>
          <w:szCs w:val="24"/>
          <w:bdr w:val="none" w:sz="0" w:space="0" w:color="auto" w:frame="1"/>
        </w:rPr>
        <w:t>Be authentic. Only you can speak to your reality. You are never wrong for how you feel.</w:t>
      </w:r>
    </w:p>
    <w:p w14:paraId="356C7C15" w14:textId="77777777" w:rsidR="007E3064" w:rsidRPr="007E3064" w:rsidRDefault="007E3064" w:rsidP="007E3064">
      <w:pPr>
        <w:numPr>
          <w:ilvl w:val="0"/>
          <w:numId w:val="1"/>
        </w:numPr>
        <w:spacing w:after="0" w:line="240" w:lineRule="auto"/>
        <w:ind w:left="600"/>
        <w:rPr>
          <w:rFonts w:ascii="&amp;quot" w:eastAsia="Times New Roman" w:hAnsi="&amp;quot" w:cs="Times New Roman"/>
          <w:color w:val="4A4A4A"/>
          <w:sz w:val="24"/>
          <w:szCs w:val="24"/>
        </w:rPr>
      </w:pPr>
      <w:r w:rsidRPr="007E3064">
        <w:rPr>
          <w:rFonts w:ascii="&amp;quot" w:eastAsia="Times New Roman" w:hAnsi="&amp;quot" w:cs="Times New Roman"/>
          <w:color w:val="4A4A4A"/>
          <w:sz w:val="24"/>
          <w:szCs w:val="24"/>
          <w:bdr w:val="none" w:sz="0" w:space="0" w:color="auto" w:frame="1"/>
        </w:rPr>
        <w:t>Together, create an environment for healing.</w:t>
      </w:r>
    </w:p>
    <w:p w14:paraId="1DE0FD16" w14:textId="77777777" w:rsidR="007E3064" w:rsidRPr="007E3064" w:rsidRDefault="007E3064" w:rsidP="007E3064">
      <w:pPr>
        <w:spacing w:after="0" w:line="240" w:lineRule="auto"/>
        <w:rPr>
          <w:rFonts w:ascii="&amp;quot" w:eastAsia="Times New Roman" w:hAnsi="&amp;quot" w:cs="Times New Roman"/>
          <w:color w:val="4A4A4A"/>
          <w:sz w:val="24"/>
          <w:szCs w:val="24"/>
        </w:rPr>
      </w:pPr>
      <w:r w:rsidRPr="007E3064">
        <w:rPr>
          <w:rFonts w:ascii="&amp;quot" w:eastAsia="Times New Roman" w:hAnsi="&amp;quot" w:cs="Times New Roman"/>
          <w:color w:val="4A4A4A"/>
          <w:sz w:val="24"/>
          <w:szCs w:val="24"/>
          <w:bdr w:val="none" w:sz="0" w:space="0" w:color="auto" w:frame="1"/>
        </w:rPr>
        <w:t> </w:t>
      </w:r>
    </w:p>
    <w:p w14:paraId="5B59E518" w14:textId="77777777" w:rsidR="007E3064" w:rsidRPr="007E3064" w:rsidRDefault="007E3064" w:rsidP="007E3064">
      <w:pPr>
        <w:spacing w:after="0" w:line="240" w:lineRule="auto"/>
        <w:rPr>
          <w:rFonts w:ascii="&amp;quot" w:eastAsia="Times New Roman" w:hAnsi="&amp;quot" w:cs="Times New Roman"/>
          <w:color w:val="4A4A4A"/>
          <w:sz w:val="24"/>
          <w:szCs w:val="24"/>
        </w:rPr>
      </w:pPr>
      <w:r w:rsidRPr="007E3064">
        <w:rPr>
          <w:rFonts w:ascii="&amp;quot" w:eastAsia="Times New Roman" w:hAnsi="&amp;quot" w:cs="Times New Roman"/>
          <w:color w:val="4A4A4A"/>
          <w:sz w:val="24"/>
          <w:szCs w:val="24"/>
          <w:bdr w:val="none" w:sz="0" w:space="0" w:color="auto" w:frame="1"/>
        </w:rPr>
        <w:t>We are guided by our principles of a trauma-informed response – where together, we seek to:</w:t>
      </w:r>
    </w:p>
    <w:p w14:paraId="22B6BB16" w14:textId="77777777" w:rsidR="007E3064" w:rsidRPr="007E3064" w:rsidRDefault="007E3064" w:rsidP="007E3064">
      <w:pPr>
        <w:numPr>
          <w:ilvl w:val="0"/>
          <w:numId w:val="2"/>
        </w:numPr>
        <w:spacing w:after="0" w:line="240" w:lineRule="auto"/>
        <w:ind w:left="600"/>
        <w:rPr>
          <w:rFonts w:ascii="&amp;quot" w:eastAsia="Times New Roman" w:hAnsi="&amp;quot" w:cs="Times New Roman"/>
          <w:color w:val="4A4A4A"/>
          <w:sz w:val="24"/>
          <w:szCs w:val="24"/>
        </w:rPr>
      </w:pPr>
      <w:r w:rsidRPr="007E3064">
        <w:rPr>
          <w:rFonts w:ascii="&amp;quot" w:eastAsia="Times New Roman" w:hAnsi="&amp;quot" w:cs="Times New Roman"/>
          <w:color w:val="4A4A4A"/>
          <w:sz w:val="24"/>
          <w:szCs w:val="24"/>
          <w:bdr w:val="none" w:sz="0" w:space="0" w:color="auto" w:frame="1"/>
        </w:rPr>
        <w:t xml:space="preserve">Realize the widespread impact of trauma and understands potential paths for </w:t>
      </w:r>
      <w:proofErr w:type="gramStart"/>
      <w:r w:rsidRPr="007E3064">
        <w:rPr>
          <w:rFonts w:ascii="&amp;quot" w:eastAsia="Times New Roman" w:hAnsi="&amp;quot" w:cs="Times New Roman"/>
          <w:color w:val="4A4A4A"/>
          <w:sz w:val="24"/>
          <w:szCs w:val="24"/>
          <w:bdr w:val="none" w:sz="0" w:space="0" w:color="auto" w:frame="1"/>
        </w:rPr>
        <w:t>recovery;</w:t>
      </w:r>
      <w:proofErr w:type="gramEnd"/>
    </w:p>
    <w:p w14:paraId="57340E03" w14:textId="77777777" w:rsidR="007E3064" w:rsidRPr="007E3064" w:rsidRDefault="007E3064" w:rsidP="007E3064">
      <w:pPr>
        <w:numPr>
          <w:ilvl w:val="0"/>
          <w:numId w:val="2"/>
        </w:numPr>
        <w:spacing w:after="0" w:line="240" w:lineRule="auto"/>
        <w:ind w:left="600"/>
        <w:rPr>
          <w:rFonts w:ascii="&amp;quot" w:eastAsia="Times New Roman" w:hAnsi="&amp;quot" w:cs="Times New Roman"/>
          <w:color w:val="4A4A4A"/>
          <w:sz w:val="24"/>
          <w:szCs w:val="24"/>
        </w:rPr>
      </w:pPr>
      <w:r w:rsidRPr="007E3064">
        <w:rPr>
          <w:rFonts w:ascii="&amp;quot" w:eastAsia="Times New Roman" w:hAnsi="&amp;quot" w:cs="Times New Roman"/>
          <w:color w:val="4A4A4A"/>
          <w:sz w:val="24"/>
          <w:szCs w:val="24"/>
          <w:bdr w:val="none" w:sz="0" w:space="0" w:color="auto" w:frame="1"/>
        </w:rPr>
        <w:t xml:space="preserve">Recognize the signs and symptoms of trauma in those we serve, families, staff, and </w:t>
      </w:r>
      <w:proofErr w:type="gramStart"/>
      <w:r w:rsidRPr="007E3064">
        <w:rPr>
          <w:rFonts w:ascii="&amp;quot" w:eastAsia="Times New Roman" w:hAnsi="&amp;quot" w:cs="Times New Roman"/>
          <w:color w:val="4A4A4A"/>
          <w:sz w:val="24"/>
          <w:szCs w:val="24"/>
          <w:bdr w:val="none" w:sz="0" w:space="0" w:color="auto" w:frame="1"/>
        </w:rPr>
        <w:t>others;</w:t>
      </w:r>
      <w:proofErr w:type="gramEnd"/>
    </w:p>
    <w:p w14:paraId="030A6CD3" w14:textId="77777777" w:rsidR="007E3064" w:rsidRPr="007E3064" w:rsidRDefault="007E3064" w:rsidP="007E3064">
      <w:pPr>
        <w:numPr>
          <w:ilvl w:val="0"/>
          <w:numId w:val="2"/>
        </w:numPr>
        <w:spacing w:after="0" w:line="240" w:lineRule="auto"/>
        <w:ind w:left="600"/>
        <w:rPr>
          <w:rFonts w:ascii="&amp;quot" w:eastAsia="Times New Roman" w:hAnsi="&amp;quot" w:cs="Times New Roman"/>
          <w:color w:val="4A4A4A"/>
          <w:sz w:val="24"/>
          <w:szCs w:val="24"/>
        </w:rPr>
      </w:pPr>
      <w:r w:rsidRPr="007E3064">
        <w:rPr>
          <w:rFonts w:ascii="&amp;quot" w:eastAsia="Times New Roman" w:hAnsi="&amp;quot" w:cs="Times New Roman"/>
          <w:color w:val="4A4A4A"/>
          <w:sz w:val="24"/>
          <w:szCs w:val="24"/>
          <w:bdr w:val="none" w:sz="0" w:space="0" w:color="auto" w:frame="1"/>
        </w:rPr>
        <w:t>Respond by fully integrating knowledge about trauma into policies, procedures, and practices; and</w:t>
      </w:r>
    </w:p>
    <w:p w14:paraId="14C6646B" w14:textId="469F5DE2" w:rsidR="007E3064" w:rsidRDefault="007E3064" w:rsidP="007E3064">
      <w:pPr>
        <w:numPr>
          <w:ilvl w:val="0"/>
          <w:numId w:val="2"/>
        </w:numPr>
        <w:spacing w:after="0" w:line="240" w:lineRule="auto"/>
        <w:ind w:left="600"/>
        <w:rPr>
          <w:rFonts w:ascii="&amp;quot" w:eastAsia="Times New Roman" w:hAnsi="&amp;quot" w:cs="Times New Roman"/>
          <w:color w:val="4A4A4A"/>
          <w:sz w:val="24"/>
          <w:szCs w:val="24"/>
        </w:rPr>
      </w:pPr>
      <w:r w:rsidRPr="007E3064">
        <w:rPr>
          <w:rFonts w:ascii="&amp;quot" w:eastAsia="Times New Roman" w:hAnsi="&amp;quot" w:cs="Times New Roman"/>
          <w:color w:val="4A4A4A"/>
          <w:sz w:val="24"/>
          <w:szCs w:val="24"/>
          <w:bdr w:val="none" w:sz="0" w:space="0" w:color="auto" w:frame="1"/>
        </w:rPr>
        <w:t xml:space="preserve">Seek to actively resist re-traumatization. </w:t>
      </w:r>
    </w:p>
    <w:p w14:paraId="6AE18C54" w14:textId="69D15B90" w:rsidR="007E3064" w:rsidRDefault="007E3064" w:rsidP="007E3064">
      <w:pPr>
        <w:spacing w:after="0" w:line="240" w:lineRule="auto"/>
        <w:rPr>
          <w:rFonts w:ascii="&amp;quot" w:eastAsia="Times New Roman" w:hAnsi="&amp;quot" w:cs="Times New Roman"/>
          <w:color w:val="4A4A4A"/>
          <w:sz w:val="24"/>
          <w:szCs w:val="24"/>
        </w:rPr>
      </w:pPr>
    </w:p>
    <w:p w14:paraId="1FB296A1" w14:textId="4F9C1A25" w:rsidR="007E3064" w:rsidRPr="007E3064" w:rsidRDefault="007E3064" w:rsidP="007E3064">
      <w:pPr>
        <w:spacing w:after="0" w:line="240" w:lineRule="auto"/>
        <w:rPr>
          <w:rFonts w:ascii="&amp;quot" w:eastAsia="Times New Roman" w:hAnsi="&amp;quot" w:cs="Times New Roman"/>
          <w:color w:val="4A4A4A"/>
          <w:sz w:val="24"/>
          <w:szCs w:val="24"/>
        </w:rPr>
      </w:pPr>
      <w:r>
        <w:rPr>
          <w:rFonts w:ascii="&amp;quot" w:eastAsia="Times New Roman" w:hAnsi="&amp;quot" w:cs="Times New Roman"/>
          <w:color w:val="4A4A4A"/>
          <w:sz w:val="24"/>
          <w:szCs w:val="24"/>
        </w:rPr>
        <w:t xml:space="preserve">All sessions will use the same format.  You are welcome to attend more than one, but the questions will be the same for each session. Please register using the link at </w:t>
      </w:r>
      <w:hyperlink r:id="rId6" w:history="1">
        <w:r w:rsidRPr="007E3064">
          <w:rPr>
            <w:rStyle w:val="Hyperlink"/>
            <w:rFonts w:ascii="&amp;quot" w:eastAsia="Times New Roman" w:hAnsi="&amp;quot" w:cs="Times New Roman"/>
            <w:sz w:val="24"/>
            <w:szCs w:val="24"/>
          </w:rPr>
          <w:t>https://www.ncota.org/diversity-equity-and-inclusion</w:t>
        </w:r>
      </w:hyperlink>
    </w:p>
    <w:p w14:paraId="66D6B620" w14:textId="77777777" w:rsidR="00A04FC5" w:rsidRDefault="007E3064"/>
    <w:sectPr w:rsidR="00A0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55D3"/>
    <w:multiLevelType w:val="multilevel"/>
    <w:tmpl w:val="82CA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CB1B95"/>
    <w:multiLevelType w:val="multilevel"/>
    <w:tmpl w:val="C9C0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64"/>
    <w:rsid w:val="00761CB6"/>
    <w:rsid w:val="007E3064"/>
    <w:rsid w:val="008C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75AF"/>
  <w15:chartTrackingRefBased/>
  <w15:docId w15:val="{47A3A9E8-CE67-44BE-A64C-9A2B59FB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3064"/>
    <w:rPr>
      <w:color w:val="0563C1" w:themeColor="hyperlink"/>
      <w:u w:val="single"/>
    </w:rPr>
  </w:style>
  <w:style w:type="character" w:styleId="UnresolvedMention">
    <w:name w:val="Unresolved Mention"/>
    <w:basedOn w:val="DefaultParagraphFont"/>
    <w:uiPriority w:val="99"/>
    <w:semiHidden/>
    <w:unhideWhenUsed/>
    <w:rsid w:val="007E3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5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ota.org/diversity-equity-and-inclus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Reynolds</dc:creator>
  <cp:keywords/>
  <dc:description/>
  <cp:lastModifiedBy>Brittany Reynolds</cp:lastModifiedBy>
  <cp:revision>1</cp:revision>
  <dcterms:created xsi:type="dcterms:W3CDTF">2020-06-25T01:52:00Z</dcterms:created>
  <dcterms:modified xsi:type="dcterms:W3CDTF">2020-06-25T01:56:00Z</dcterms:modified>
</cp:coreProperties>
</file>