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740E" w14:textId="293F693C" w:rsidR="006B4702" w:rsidRPr="006B4702" w:rsidRDefault="006B4702" w:rsidP="006B4702">
      <w:pPr>
        <w:spacing w:after="0" w:line="240" w:lineRule="auto"/>
        <w:rPr>
          <w:rFonts w:ascii="Roboto" w:eastAsia="Times New Roman" w:hAnsi="Roboto" w:cs="Times New Roman"/>
          <w:color w:val="4A4A4A"/>
          <w:sz w:val="23"/>
          <w:szCs w:val="23"/>
        </w:rPr>
      </w:pPr>
      <w:r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Fieldwork is an e</w:t>
      </w: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 xml:space="preserve">xciting time when you get to practice the skills and techniques you’ve learned in school in real-life situations. It is so vital to developing your clinical </w:t>
      </w:r>
      <w:proofErr w:type="gramStart"/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skill-set</w:t>
      </w:r>
      <w:proofErr w:type="gramEnd"/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 xml:space="preserve"> and we at NCOTA want you to be as prepared as possible for this experience.</w:t>
      </w:r>
    </w:p>
    <w:p w14:paraId="0865FF7A" w14:textId="77777777" w:rsidR="006B4702" w:rsidRPr="006B4702" w:rsidRDefault="006B4702" w:rsidP="006B4702">
      <w:pPr>
        <w:spacing w:after="0" w:line="240" w:lineRule="auto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 </w:t>
      </w:r>
    </w:p>
    <w:p w14:paraId="4C069C40" w14:textId="77777777" w:rsidR="006B4702" w:rsidRPr="006B4702" w:rsidRDefault="006B4702" w:rsidP="006B4702">
      <w:pPr>
        <w:spacing w:after="0" w:line="240" w:lineRule="auto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Your program, fieldwork coordinator, and clinical instructor will have resources and information about site-specific processes. Below are additional tools to help you along the way:</w:t>
      </w:r>
    </w:p>
    <w:p w14:paraId="34A5252C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AOTA Resources for Fieldwork Education: </w:t>
      </w:r>
      <w:hyperlink r:id="rId5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https://www.aota.org/education/fieldwork/fieldwork-resources</w:t>
        </w:r>
      </w:hyperlink>
    </w:p>
    <w:p w14:paraId="3E8FE30C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What is Professionalism in Occupational Therapy? A Concept Analysis, </w:t>
      </w:r>
      <w:hyperlink r:id="rId6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https://journals.sagepub.com/doi/pdf/10.1177/0008417421994377</w:t>
        </w:r>
      </w:hyperlink>
    </w:p>
    <w:p w14:paraId="310629F0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Enhancing Professionalism Among OT Students: The Culture of Professionalism, </w:t>
      </w:r>
      <w:hyperlink r:id="rId7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https://encompass.eku.edu/cgi/viewcontent.cgi?article=1078&amp;context=jote</w:t>
        </w:r>
      </w:hyperlink>
    </w:p>
    <w:p w14:paraId="5483A936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Learning Style Inventory, </w:t>
      </w:r>
      <w:hyperlink r:id="rId8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https://www.alamo.edu/contentassets/a5a735ca72a941f4a67fcbb46ba35d08/study-skills/learning-style-inventory.pdf</w:t>
        </w:r>
      </w:hyperlink>
    </w:p>
    <w:p w14:paraId="59FF7254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Kolb Learning Style Inventory, </w:t>
      </w:r>
      <w:hyperlink r:id="rId9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http://med.fau.edu/students/md_m1_orientation/M1%20Kolb%20Learning%20Style%20Inventory.pdf</w:t>
        </w:r>
      </w:hyperlink>
    </w:p>
    <w:p w14:paraId="37D1E811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VARK Learning Style Questionnaire, </w:t>
      </w:r>
      <w:hyperlink r:id="rId10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https://vark-learn.com/the-vark-questionnaire/</w:t>
        </w:r>
      </w:hyperlink>
    </w:p>
    <w:p w14:paraId="0AC0AF11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Active Listening Skills, </w:t>
      </w:r>
      <w:hyperlink r:id="rId11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https://www.therapistaid.com/therapy-worksheet/active-listening</w:t>
        </w:r>
      </w:hyperlink>
    </w:p>
    <w:p w14:paraId="1D08DF51" w14:textId="77777777" w:rsidR="006B4702" w:rsidRPr="006B4702" w:rsidRDefault="006B4702" w:rsidP="006B4702">
      <w:pPr>
        <w:numPr>
          <w:ilvl w:val="0"/>
          <w:numId w:val="1"/>
        </w:numPr>
        <w:spacing w:after="0" w:line="240" w:lineRule="auto"/>
        <w:ind w:left="1320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6B4702">
        <w:rPr>
          <w:rFonts w:ascii="Roboto" w:eastAsia="Times New Roman" w:hAnsi="Roboto" w:cs="Times New Roman"/>
          <w:color w:val="4A4A4A"/>
          <w:sz w:val="24"/>
          <w:szCs w:val="24"/>
          <w:bdr w:val="none" w:sz="0" w:space="0" w:color="auto" w:frame="1"/>
        </w:rPr>
        <w:t>Cultural Competency Toolkit from MDI, </w:t>
      </w:r>
      <w:hyperlink r:id="rId12" w:history="1">
        <w:r w:rsidRPr="006B4702">
          <w:rPr>
            <w:rFonts w:ascii="Roboto" w:eastAsia="Times New Roman" w:hAnsi="Roboto" w:cs="Times New Roman"/>
            <w:color w:val="445A71"/>
            <w:sz w:val="24"/>
            <w:szCs w:val="24"/>
            <w:u w:val="single"/>
            <w:bdr w:val="none" w:sz="0" w:space="0" w:color="auto" w:frame="1"/>
          </w:rPr>
          <w:t>https://med.und.edu/occupational-therapy/_files/docs/cultural-competency-tool-kit.pdf</w:t>
        </w:r>
      </w:hyperlink>
    </w:p>
    <w:p w14:paraId="3074388A" w14:textId="77777777" w:rsidR="00231B99" w:rsidRDefault="006B4702"/>
    <w:sectPr w:rsidR="0023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6005"/>
    <w:multiLevelType w:val="multilevel"/>
    <w:tmpl w:val="C3E4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02"/>
    <w:rsid w:val="006B4702"/>
    <w:rsid w:val="00B642AF"/>
    <w:rsid w:val="00D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A395"/>
  <w15:chartTrackingRefBased/>
  <w15:docId w15:val="{747BDA22-A52D-4D6F-A24F-D2B1333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mo.edu/contentassets/a5a735ca72a941f4a67fcbb46ba35d08/study-skills/learning-style-inventor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compass.eku.edu/cgi/viewcontent.cgi?article=1078&amp;context=jote" TargetMode="External"/><Relationship Id="rId12" Type="http://schemas.openxmlformats.org/officeDocument/2006/relationships/hyperlink" Target="https://med.und.edu/occupational-therapy/_files/docs/cultural-competency-tool-k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sagepub.com/doi/pdf/10.1177/0008417421994377" TargetMode="External"/><Relationship Id="rId11" Type="http://schemas.openxmlformats.org/officeDocument/2006/relationships/hyperlink" Target="https://www.therapistaid.com/therapy-worksheet/active-listening" TargetMode="External"/><Relationship Id="rId5" Type="http://schemas.openxmlformats.org/officeDocument/2006/relationships/hyperlink" Target="https://www.aota.org/education/fieldwork/fieldwork-resources" TargetMode="External"/><Relationship Id="rId10" Type="http://schemas.openxmlformats.org/officeDocument/2006/relationships/hyperlink" Target="https://vark-learn.com/the-vark-questionna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.fau.edu/students/md_m1_orientation/M1%20Kolb%20Learning%20Style%20Inventor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Reynolds</dc:creator>
  <cp:keywords/>
  <dc:description/>
  <cp:lastModifiedBy>Brittany Reynolds</cp:lastModifiedBy>
  <cp:revision>1</cp:revision>
  <dcterms:created xsi:type="dcterms:W3CDTF">2022-06-27T00:32:00Z</dcterms:created>
  <dcterms:modified xsi:type="dcterms:W3CDTF">2022-06-27T00:35:00Z</dcterms:modified>
</cp:coreProperties>
</file>